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57" w:rsidRPr="00BD2657" w:rsidRDefault="00BD2657" w:rsidP="00BD2657">
      <w:pPr>
        <w:jc w:val="center"/>
        <w:rPr>
          <w:b/>
          <w:color w:val="31849B" w:themeColor="accent5" w:themeShade="BF"/>
          <w:sz w:val="40"/>
          <w:szCs w:val="40"/>
        </w:rPr>
      </w:pPr>
      <w:r>
        <w:rPr>
          <w:b/>
          <w:color w:val="31849B" w:themeColor="accent5" w:themeShade="BF"/>
          <w:sz w:val="40"/>
          <w:szCs w:val="40"/>
        </w:rPr>
        <w:t>Карельс</w:t>
      </w:r>
      <w:r w:rsidRPr="00BD2657">
        <w:rPr>
          <w:b/>
          <w:color w:val="31849B" w:themeColor="accent5" w:themeShade="BF"/>
          <w:sz w:val="40"/>
          <w:szCs w:val="40"/>
        </w:rPr>
        <w:t>к</w:t>
      </w:r>
      <w:r>
        <w:rPr>
          <w:b/>
          <w:color w:val="31849B" w:themeColor="accent5" w:themeShade="BF"/>
          <w:sz w:val="40"/>
          <w:szCs w:val="40"/>
        </w:rPr>
        <w:t>и</w:t>
      </w:r>
      <w:r w:rsidRPr="00BD2657">
        <w:rPr>
          <w:b/>
          <w:color w:val="31849B" w:themeColor="accent5" w:themeShade="BF"/>
          <w:sz w:val="40"/>
          <w:szCs w:val="40"/>
        </w:rPr>
        <w:t>е выходные</w:t>
      </w:r>
    </w:p>
    <w:p w:rsidR="00BD2657" w:rsidRDefault="00BD2657" w:rsidP="00BD2657">
      <w:pPr>
        <w:jc w:val="center"/>
        <w:rPr>
          <w:b/>
          <w:color w:val="31849B" w:themeColor="accent5" w:themeShade="BF"/>
          <w:sz w:val="32"/>
          <w:szCs w:val="32"/>
        </w:rPr>
      </w:pPr>
      <w:r>
        <w:rPr>
          <w:b/>
          <w:color w:val="31849B" w:themeColor="accent5" w:themeShade="BF"/>
          <w:sz w:val="32"/>
          <w:szCs w:val="32"/>
        </w:rPr>
        <w:t>(</w:t>
      </w:r>
      <w:r w:rsidRPr="00BD2657">
        <w:rPr>
          <w:b/>
          <w:color w:val="31849B" w:themeColor="accent5" w:themeShade="BF"/>
          <w:sz w:val="32"/>
          <w:szCs w:val="32"/>
        </w:rPr>
        <w:t>2 дня</w:t>
      </w:r>
      <w:r>
        <w:rPr>
          <w:b/>
          <w:color w:val="31849B" w:themeColor="accent5" w:themeShade="BF"/>
          <w:sz w:val="32"/>
          <w:szCs w:val="32"/>
        </w:rPr>
        <w:t>)</w:t>
      </w:r>
    </w:p>
    <w:p w:rsidR="00BD2657" w:rsidRDefault="00BD2657" w:rsidP="00BD2657">
      <w:pPr>
        <w:rPr>
          <w:color w:val="31849B" w:themeColor="accent5" w:themeShade="BF"/>
          <w:sz w:val="20"/>
          <w:szCs w:val="20"/>
        </w:rPr>
      </w:pPr>
    </w:p>
    <w:p w:rsidR="00BD2657" w:rsidRPr="00BD2657" w:rsidRDefault="00BD2657" w:rsidP="00BD2657">
      <w:pPr>
        <w:rPr>
          <w:rFonts w:eastAsia="Times New Roman"/>
          <w:sz w:val="18"/>
          <w:szCs w:val="18"/>
          <w:lang w:eastAsia="ru-RU"/>
        </w:rPr>
      </w:pPr>
      <w:r w:rsidRPr="00BD2657">
        <w:rPr>
          <w:rFonts w:eastAsia="Times New Roman"/>
          <w:b/>
          <w:bCs/>
          <w:sz w:val="18"/>
          <w:szCs w:val="18"/>
          <w:lang w:eastAsia="ru-RU"/>
        </w:rPr>
        <w:t>ГРАФИК ЗАЕЗДОВ:</w:t>
      </w:r>
    </w:p>
    <w:p w:rsidR="00682DFC" w:rsidRPr="00682DFC" w:rsidRDefault="00682DFC" w:rsidP="00682DFC">
      <w:pPr>
        <w:rPr>
          <w:rFonts w:eastAsia="Times New Roman"/>
          <w:sz w:val="18"/>
          <w:szCs w:val="18"/>
          <w:lang w:eastAsia="ru-RU"/>
        </w:rPr>
      </w:pPr>
      <w:r w:rsidRPr="00682DFC">
        <w:rPr>
          <w:rFonts w:eastAsia="Times New Roman"/>
          <w:sz w:val="18"/>
          <w:szCs w:val="18"/>
          <w:lang w:eastAsia="ru-RU"/>
        </w:rPr>
        <w:t>Август: 25, 28, 29, 31.</w:t>
      </w:r>
    </w:p>
    <w:p w:rsidR="004C6FB7" w:rsidRDefault="00682DFC" w:rsidP="00682DFC">
      <w:pPr>
        <w:rPr>
          <w:rFonts w:eastAsia="Times New Roman"/>
          <w:b/>
          <w:bCs/>
          <w:sz w:val="18"/>
          <w:szCs w:val="18"/>
          <w:lang w:eastAsia="ru-RU"/>
        </w:rPr>
      </w:pPr>
      <w:r w:rsidRPr="00682DFC">
        <w:rPr>
          <w:rFonts w:eastAsia="Times New Roman"/>
          <w:sz w:val="18"/>
          <w:szCs w:val="18"/>
          <w:lang w:eastAsia="ru-RU"/>
        </w:rPr>
        <w:t>Сентябрь: 1, 5, 8, 12, 15, 19, 22, 26, 29.</w:t>
      </w:r>
    </w:p>
    <w:p w:rsidR="00682DFC" w:rsidRDefault="00682DFC" w:rsidP="00665AD1">
      <w:pPr>
        <w:jc w:val="center"/>
        <w:rPr>
          <w:rFonts w:eastAsia="Times New Roman"/>
          <w:b/>
          <w:bCs/>
          <w:sz w:val="18"/>
          <w:szCs w:val="18"/>
          <w:lang w:eastAsia="ru-RU"/>
        </w:rPr>
      </w:pPr>
    </w:p>
    <w:p w:rsidR="004C6FB7" w:rsidRPr="00665AD1" w:rsidRDefault="00BD2657" w:rsidP="00665AD1">
      <w:pPr>
        <w:jc w:val="center"/>
        <w:rPr>
          <w:rFonts w:eastAsia="Times New Roman"/>
          <w:sz w:val="18"/>
          <w:szCs w:val="18"/>
          <w:lang w:eastAsia="ru-RU"/>
        </w:rPr>
      </w:pPr>
      <w:bookmarkStart w:id="0" w:name="_GoBack"/>
      <w:bookmarkEnd w:id="0"/>
      <w:r w:rsidRPr="00BD2657">
        <w:rPr>
          <w:rFonts w:eastAsia="Times New Roman"/>
          <w:b/>
          <w:bCs/>
          <w:sz w:val="18"/>
          <w:szCs w:val="18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9681"/>
      </w:tblGrid>
      <w:tr w:rsidR="004C6FB7" w:rsidRPr="004C6FB7" w:rsidTr="00665AD1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2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7.30 – отправление автобуса из СПб (станция «Площадь Восстания», пр.</w:t>
            </w:r>
            <w:proofErr w:type="gramEnd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Лиговский, д.10).</w:t>
            </w:r>
            <w:proofErr w:type="gramEnd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От станции метрополитена «Озерки» – в 8.00.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Сбор группы и подача транспорта производится за 30 минут до отправления. Отъезд – по расписанию. Вас будут ожидать туристические автобусы высокого уровня комфорта и безопасности.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10.00 – приезд в г. Приозерск. Знакомство с крепостью </w:t>
            </w:r>
            <w:proofErr w:type="spellStart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Корела</w:t>
            </w:r>
            <w:proofErr w:type="spellEnd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По отбытию из Петербурга Вы сможете вдоволь налюбоваться великолепными пейзажами междугородной трассы. Перед въездом в окрестности Приозерска автобус пройдет по мосту над 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Лосевскими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 порогами.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Непосредственно в городе предусмотрена непродолжительная стоянка. Появится возможность немного отдохнуть, отведать свежей выпечки с чаем или кофе. Далее – время, чтобы посетить средневековые крепостные стены 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Корелы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. При желании Вы сможете заглянуть внутрь, предварительно приобретя входной билет (30–100 рублей). Однако туристы редко предпочитают навещать крепостные недра, довольствуясь фото и прогулкой окрестностями.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13.30 – приезд в Сортавалу. Обед (по желанию)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Два часа увлекательного путешествия пролетят незаметно. Группа достигнет Сортавалы. Вы услышите истории и предания знаменитого ладожского города, судьба которого неразрывно связана с Финляндией, островом Валаам и Российской Империей.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15.00 – знакомство с легендарными водопадами </w:t>
            </w:r>
            <w:proofErr w:type="spellStart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Ахвенкоски</w:t>
            </w:r>
            <w:proofErr w:type="spellEnd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 Осмотр мест съемок всеми любимых фильмов.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Ахвенкоски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 манят и завораживают. Они особенно прекрасны летом и осенью. Однако самый привлекательный факт состоит в том, что именно тут снимались легендарные «А зори здесь тихие…» и сцены «Темного мира». Вы непременно узнаете знакомые виды, сможете сфотографировать их на память, увидите кинематографические декорации. Вас ждет впечатляющее зрелище!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15.30 – приезд в </w:t>
            </w:r>
            <w:proofErr w:type="spellStart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Рускеалу</w:t>
            </w:r>
            <w:proofErr w:type="spellEnd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 Мраморный каньон. Экскурсионная программа, далее – личное время и развлечения.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Горный пейзажный парк 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Рускеала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 с Мраморным каньоном станут последним пунктом путешествия. Группу ожидает экскурсия по парку в сопровождении местного гида (лицензированный профессионал). В ходе повествования Вы сможете узнать историю этого удивительного места. Вам расскажут, как добывался мрамор, покажут жерла многочисленных штолен и пещеры, покинутый завод. Также сможете увидеть красоту Итальянского карьера, побываете на смотровых площадках, восхититесь таинственностью подземного озера.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По завершении плановой экскурсии – личное время и целый спектр разнообразных развлечений в 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Рускеале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!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19.00 – отъезд в г. Сортавала. Расселение в отелях.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После насыщенного впечатлениями долгого дня, что может быть лучше полноценного отдыха в неповторимой романтической атмосфере? Сортавала предоставит Вам такую возможность! Отличные отели и потрясающий антураж – для Вас.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4C6FB7" w:rsidRPr="00665AD1" w:rsidRDefault="00665AD1" w:rsidP="00665AD1"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Гуляйте, любуйтесь красотами, проникайтесь атмосферой Средневековья. Или подберите себе уютный ресторанчик и отведайте местной кухни. Воспользуйтесь сполна личным временем и необычной обстановкой! Ваш отдых станет поистине незабываемым.</w:t>
            </w:r>
          </w:p>
        </w:tc>
      </w:tr>
      <w:tr w:rsidR="004C6FB7" w:rsidRPr="004C6FB7" w:rsidTr="00665AD1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26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9.00 – завтрак. Освобождение занимаемых номеров.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По завершении завтрака Вы встретитесь со своим гидом, займете места в автобусе и отправитесь к дальнейшим приключениям.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11.00 – Пестрый Залив. Посещение комплекса под открытым небом Северная Фиваида.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Вас ждет одно из прекраснейших мест на севере 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Приладожья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. Местные жители и многочисленные художники-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натуристы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, приезжающие сюда, именуют залив «Пестрым». На языке Суоми это звучит как «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Кирьявалахти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».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У залива много общего с норвежскими фьордами. Дорога к нему змеится вдоль кромки воды. Границей доступной суши служит высокая скала с потухшим вулканом на вершине. У подошвы древних базальтов – старинная аптекарская дача 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Яскеляйнен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. Именно здесь когда-то сложилась известнейшая песня о карельских красотах «И долго будет Карелия сниться…».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На «Храмовой горке», протянувшейся вдоль берега Ладожского озера, в окружении вековых сосен расположился </w:t>
            </w:r>
            <w:r w:rsidRPr="004C6FB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уникальный комплекс «Северная Фиваида». Здесь воссозданы копии самых известных деревянных церквей и часовен Карелии. Туристы называют это место «маленькие Кижи».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12.00 – приезд в г. Сортавала, экскурсия, посещение музея К. Гоголева (по желанию).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В ходе обзорной экскурсии по Сортавале Вас поразят уникальные архитектурные объекты. Здесь все пропитано финским своеобразием и особым сдержанным шиком. Вам расскажут интересные местные легенды, поведают исторические и современные факты. Также планируется посещение знаменитого музея К. Гоголева. В нем представлены уникальные трехмерные картины, выполненные из дерева.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14:00  Обед </w:t>
            </w:r>
            <w:proofErr w:type="gramStart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по желанию).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Насыщенный день и потрясающий аппетит – это ли не мотивы провести время в милом городском ресторанчике? Но если у Вас остались силы, можете продолжить прогулку по прилежащей территории, получить позитивные эмоции и полюбоваться местными видами.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16:00 - Посещение музейного комплекса «Гора Филина» в городе Лахденпохья.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Уже по дороге из Сортавалы в Санкт-Петербург мы остановимся у «Горы Филина». И ничего, что в зимний сезон в это время уже начинает темнеть, ведь основная часть музея находится глубоко под гранитной горой. Именно в толще скал финские инженеры создали огромный бункер для военных нужд. Основная экспозиция, посвященная двум войнам середины 20 века. Музей новый, экспозиция постоянно растёт. Только имейте </w:t>
            </w:r>
            <w:proofErr w:type="gram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ввиду</w:t>
            </w:r>
            <w:proofErr w:type="gram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, что микроклимат здесь соответствующий, пещерный, поэтому не забывайте о теплой одежде.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18:00 - посещение фирменного рыбного магазина при форелевом хозяйстве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Для всей семьи можем порекомендовать продукцию фермерского хозяйства «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Акуловка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», у магазина которого также будет остановка. А известно это фермерское хозяйство красной рыбой, которую выращивают в садках в одном из заливов Ладожского озера совсем рядом от места продажи. Здесь можно попробовать, а потом и приобрести деликатесную форель двух видов (крупную красную и мелкую розовую), а также карпа. Продается как свежая рыба, так и приготовленная в нескольких вариантах холодного и горячего копчения. Помимо этого здесь же продаётся натуральный мёд местного производства, овощи и дары леса. Вообще магазин очень похож по концепции на 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Disas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Fish</w:t>
            </w:r>
            <w:proofErr w:type="spell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, который знаком всем, кто путешествовал в Финляндию. Здесь нет заводской продукции, только </w:t>
            </w:r>
            <w:proofErr w:type="gramStart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>фермерская</w:t>
            </w:r>
            <w:proofErr w:type="gramEnd"/>
            <w:r w:rsidRPr="004C6FB7">
              <w:rPr>
                <w:rFonts w:eastAsia="Times New Roman"/>
                <w:sz w:val="18"/>
                <w:szCs w:val="18"/>
                <w:lang w:eastAsia="ru-RU"/>
              </w:rPr>
              <w:t xml:space="preserve"> и очень вкусная.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Внимание!!! заезд в магазин может быть отменен в случае больших очередей либо отсутствия времени. Это делается, чтобы успеть к метро.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18:00 - отправление в Петербург от магазина.</w:t>
            </w:r>
          </w:p>
          <w:p w:rsidR="00665AD1" w:rsidRPr="004C6FB7" w:rsidRDefault="00665AD1" w:rsidP="00665AD1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Ориентировочное время прибытия в Санкт-Петербург (в зависимости от транспортной ситуации):</w:t>
            </w:r>
          </w:p>
          <w:p w:rsidR="004C6FB7" w:rsidRPr="00665AD1" w:rsidRDefault="00665AD1" w:rsidP="00665AD1"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23:00 прибытие в Петербург (м. Озерки и м. пл. Восстания).</w:t>
            </w:r>
          </w:p>
        </w:tc>
      </w:tr>
    </w:tbl>
    <w:p w:rsidR="00BD2657" w:rsidRPr="00BD2657" w:rsidRDefault="00BD2657" w:rsidP="00665AD1">
      <w:pPr>
        <w:rPr>
          <w:color w:val="31849B" w:themeColor="accent5" w:themeShade="BF"/>
          <w:sz w:val="18"/>
          <w:szCs w:val="18"/>
        </w:rPr>
      </w:pPr>
    </w:p>
    <w:p w:rsidR="00BD2657" w:rsidRPr="00BD2657" w:rsidRDefault="00BD2657" w:rsidP="00665AD1">
      <w:pPr>
        <w:rPr>
          <w:color w:val="31849B" w:themeColor="accent5" w:themeShade="BF"/>
          <w:sz w:val="18"/>
          <w:szCs w:val="18"/>
        </w:rPr>
      </w:pPr>
    </w:p>
    <w:p w:rsidR="004C6FB7" w:rsidRPr="004C6FB7" w:rsidRDefault="00BD2657" w:rsidP="00665AD1">
      <w:pPr>
        <w:jc w:val="center"/>
        <w:rPr>
          <w:rFonts w:eastAsia="Times New Roman"/>
          <w:sz w:val="18"/>
          <w:szCs w:val="18"/>
          <w:lang w:eastAsia="ru-RU"/>
        </w:rPr>
      </w:pPr>
      <w:r w:rsidRPr="00BD2657">
        <w:rPr>
          <w:rFonts w:eastAsia="Times New Roman"/>
          <w:b/>
          <w:bCs/>
          <w:sz w:val="18"/>
          <w:szCs w:val="18"/>
          <w:lang w:eastAsia="ru-RU"/>
        </w:rPr>
        <w:t>СТОИМОСТЬ ТУРА</w:t>
      </w:r>
      <w:r w:rsidRPr="00BD2657">
        <w:rPr>
          <w:rFonts w:eastAsia="Times New Roman"/>
          <w:sz w:val="18"/>
          <w:szCs w:val="18"/>
          <w:lang w:eastAsia="ru-RU"/>
        </w:rPr>
        <w:t xml:space="preserve"> (в рублях на человека)</w:t>
      </w:r>
      <w:r w:rsidRPr="00BD2657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3136"/>
        <w:gridCol w:w="2237"/>
        <w:gridCol w:w="2368"/>
      </w:tblGrid>
      <w:tr w:rsidR="004C6FB7" w:rsidRPr="004C6FB7" w:rsidTr="004C6FB7">
        <w:trPr>
          <w:tblCellSpacing w:w="0" w:type="dxa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Категория отеля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Двухместное  размещение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Одноместное размещение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Дополнительное место</w:t>
            </w:r>
          </w:p>
        </w:tc>
      </w:tr>
      <w:tr w:rsidR="004C6FB7" w:rsidRPr="004C6FB7" w:rsidTr="004C6FB7">
        <w:trPr>
          <w:tblCellSpacing w:w="0" w:type="dxa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Размещение в отелях категории "Комфорт"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5 490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6 790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5 000</w:t>
            </w:r>
          </w:p>
        </w:tc>
      </w:tr>
      <w:tr w:rsidR="004C6FB7" w:rsidRPr="004C6FB7" w:rsidTr="004C6FB7">
        <w:trPr>
          <w:tblCellSpacing w:w="0" w:type="dxa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Размещение в отелях категории "Премиум"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6 190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7 900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5 700</w:t>
            </w:r>
          </w:p>
        </w:tc>
      </w:tr>
      <w:tr w:rsidR="004C6FB7" w:rsidRPr="004C6FB7" w:rsidTr="004C6FB7">
        <w:trPr>
          <w:trHeight w:val="135"/>
          <w:tblCellSpacing w:w="0" w:type="dxa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135" w:lineRule="atLeast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Размещение в отелях категории "Премиум Плюс"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135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6 700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135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8 700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135" w:lineRule="atLeas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6 300</w:t>
            </w:r>
          </w:p>
        </w:tc>
      </w:tr>
      <w:tr w:rsidR="004C6FB7" w:rsidRPr="004C6FB7" w:rsidTr="004C6FB7">
        <w:trPr>
          <w:tblCellSpacing w:w="0" w:type="dxa"/>
        </w:trPr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Скидки</w:t>
            </w:r>
          </w:p>
          <w:p w:rsidR="004C6FB7" w:rsidRPr="004C6FB7" w:rsidRDefault="004C6FB7" w:rsidP="004C6FB7">
            <w:pPr>
              <w:spacing w:line="36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Условия предоставления: подтверждающие документы.</w:t>
            </w:r>
          </w:p>
        </w:tc>
        <w:tc>
          <w:tcPr>
            <w:tcW w:w="197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студентам: 200 р.</w:t>
            </w:r>
          </w:p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школьникам 250 р.</w:t>
            </w:r>
          </w:p>
          <w:p w:rsidR="004C6FB7" w:rsidRPr="004C6FB7" w:rsidRDefault="004C6FB7" w:rsidP="004C6FB7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6FB7">
              <w:rPr>
                <w:rFonts w:eastAsia="Times New Roman"/>
                <w:sz w:val="18"/>
                <w:szCs w:val="18"/>
                <w:lang w:eastAsia="ru-RU"/>
              </w:rPr>
              <w:t>группы от 10 чел. 10%</w:t>
            </w:r>
          </w:p>
        </w:tc>
      </w:tr>
    </w:tbl>
    <w:p w:rsidR="00BD2657" w:rsidRPr="00BD2657" w:rsidRDefault="00BD2657" w:rsidP="00BD2657">
      <w:pPr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C6FB7" w:rsidRPr="004C6FB7" w:rsidRDefault="004C6FB7" w:rsidP="004C6FB7">
      <w:pPr>
        <w:rPr>
          <w:rFonts w:eastAsia="Times New Roman"/>
          <w:b/>
          <w:bCs/>
          <w:sz w:val="18"/>
          <w:szCs w:val="18"/>
          <w:lang w:eastAsia="ru-RU"/>
        </w:rPr>
      </w:pPr>
      <w:r w:rsidRPr="004C6FB7">
        <w:rPr>
          <w:rFonts w:eastAsia="Times New Roman"/>
          <w:b/>
          <w:bCs/>
          <w:sz w:val="18"/>
          <w:szCs w:val="18"/>
          <w:lang w:eastAsia="ru-RU"/>
        </w:rPr>
        <w:t>В СТОИМОСТЬ ВКЛЮЧЕНО:</w:t>
      </w:r>
    </w:p>
    <w:p w:rsidR="004C6FB7" w:rsidRPr="004C6FB7" w:rsidRDefault="004C6FB7" w:rsidP="004C6FB7">
      <w:pPr>
        <w:rPr>
          <w:rFonts w:eastAsia="Times New Roman"/>
          <w:bCs/>
          <w:sz w:val="18"/>
          <w:szCs w:val="18"/>
          <w:lang w:eastAsia="ru-RU"/>
        </w:rPr>
      </w:pPr>
      <w:r w:rsidRPr="004C6FB7">
        <w:rPr>
          <w:rFonts w:eastAsia="Times New Roman"/>
          <w:bCs/>
          <w:sz w:val="18"/>
          <w:szCs w:val="18"/>
          <w:lang w:eastAsia="ru-RU"/>
        </w:rPr>
        <w:t xml:space="preserve">- размещение в отеле </w:t>
      </w:r>
      <w:proofErr w:type="gramStart"/>
      <w:r w:rsidRPr="004C6FB7">
        <w:rPr>
          <w:rFonts w:eastAsia="Times New Roman"/>
          <w:bCs/>
          <w:sz w:val="18"/>
          <w:szCs w:val="18"/>
          <w:lang w:eastAsia="ru-RU"/>
        </w:rPr>
        <w:t>в</w:t>
      </w:r>
      <w:proofErr w:type="gramEnd"/>
      <w:r w:rsidRPr="004C6FB7">
        <w:rPr>
          <w:rFonts w:eastAsia="Times New Roman"/>
          <w:bCs/>
          <w:sz w:val="18"/>
          <w:szCs w:val="18"/>
          <w:lang w:eastAsia="ru-RU"/>
        </w:rPr>
        <w:t xml:space="preserve"> </w:t>
      </w:r>
      <w:proofErr w:type="gramStart"/>
      <w:r w:rsidRPr="004C6FB7">
        <w:rPr>
          <w:rFonts w:eastAsia="Times New Roman"/>
          <w:bCs/>
          <w:sz w:val="18"/>
          <w:szCs w:val="18"/>
          <w:lang w:eastAsia="ru-RU"/>
        </w:rPr>
        <w:t>завтраком</w:t>
      </w:r>
      <w:proofErr w:type="gramEnd"/>
      <w:r w:rsidRPr="004C6FB7">
        <w:rPr>
          <w:rFonts w:eastAsia="Times New Roman"/>
          <w:bCs/>
          <w:sz w:val="18"/>
          <w:szCs w:val="18"/>
          <w:lang w:eastAsia="ru-RU"/>
        </w:rPr>
        <w:t xml:space="preserve"> - 1 ночь</w:t>
      </w:r>
    </w:p>
    <w:p w:rsidR="004C6FB7" w:rsidRPr="004C6FB7" w:rsidRDefault="004C6FB7" w:rsidP="004C6FB7">
      <w:pPr>
        <w:rPr>
          <w:rFonts w:eastAsia="Times New Roman"/>
          <w:bCs/>
          <w:sz w:val="18"/>
          <w:szCs w:val="18"/>
          <w:lang w:eastAsia="ru-RU"/>
        </w:rPr>
      </w:pPr>
      <w:r w:rsidRPr="004C6FB7">
        <w:rPr>
          <w:rFonts w:eastAsia="Times New Roman"/>
          <w:bCs/>
          <w:sz w:val="18"/>
          <w:szCs w:val="18"/>
          <w:lang w:eastAsia="ru-RU"/>
        </w:rPr>
        <w:t>- транспортное обслуживание по маршруту</w:t>
      </w:r>
    </w:p>
    <w:p w:rsidR="004C6FB7" w:rsidRPr="004C6FB7" w:rsidRDefault="004C6FB7" w:rsidP="004C6FB7">
      <w:pPr>
        <w:rPr>
          <w:rFonts w:eastAsia="Times New Roman"/>
          <w:bCs/>
          <w:sz w:val="18"/>
          <w:szCs w:val="18"/>
          <w:lang w:eastAsia="ru-RU"/>
        </w:rPr>
      </w:pPr>
      <w:r w:rsidRPr="004C6FB7">
        <w:rPr>
          <w:rFonts w:eastAsia="Times New Roman"/>
          <w:bCs/>
          <w:sz w:val="18"/>
          <w:szCs w:val="18"/>
          <w:lang w:eastAsia="ru-RU"/>
        </w:rPr>
        <w:t>- экскурсия по горному парку РУСКЕАЛА, включая входные билеты</w:t>
      </w:r>
    </w:p>
    <w:p w:rsidR="004C6FB7" w:rsidRPr="004C6FB7" w:rsidRDefault="004C6FB7" w:rsidP="004C6FB7">
      <w:pPr>
        <w:rPr>
          <w:rFonts w:eastAsia="Times New Roman"/>
          <w:bCs/>
          <w:sz w:val="18"/>
          <w:szCs w:val="18"/>
          <w:lang w:eastAsia="ru-RU"/>
        </w:rPr>
      </w:pPr>
      <w:r w:rsidRPr="004C6FB7">
        <w:rPr>
          <w:rFonts w:eastAsia="Times New Roman"/>
          <w:bCs/>
          <w:sz w:val="18"/>
          <w:szCs w:val="18"/>
          <w:lang w:eastAsia="ru-RU"/>
        </w:rPr>
        <w:t>- экскурсионное сопровождение профессиональным гидом по маршруту</w:t>
      </w:r>
    </w:p>
    <w:p w:rsidR="004C6FB7" w:rsidRPr="004C6FB7" w:rsidRDefault="004C6FB7" w:rsidP="004C6FB7">
      <w:pPr>
        <w:rPr>
          <w:rFonts w:eastAsia="Times New Roman"/>
          <w:b/>
          <w:bCs/>
          <w:sz w:val="18"/>
          <w:szCs w:val="18"/>
          <w:lang w:eastAsia="ru-RU"/>
        </w:rPr>
      </w:pPr>
    </w:p>
    <w:p w:rsidR="004C6FB7" w:rsidRPr="004C6FB7" w:rsidRDefault="004C6FB7" w:rsidP="004C6FB7">
      <w:pPr>
        <w:rPr>
          <w:rFonts w:eastAsia="Times New Roman"/>
          <w:b/>
          <w:bCs/>
          <w:sz w:val="18"/>
          <w:szCs w:val="18"/>
          <w:lang w:eastAsia="ru-RU"/>
        </w:rPr>
      </w:pPr>
      <w:r w:rsidRPr="004C6FB7">
        <w:rPr>
          <w:rFonts w:eastAsia="Times New Roman"/>
          <w:b/>
          <w:bCs/>
          <w:sz w:val="18"/>
          <w:szCs w:val="18"/>
          <w:lang w:eastAsia="ru-RU"/>
        </w:rPr>
        <w:t>ОПЛАЧИВАЕТСЯ ДОПОЛНИТЕЛЬНО:</w:t>
      </w:r>
    </w:p>
    <w:p w:rsidR="004C6FB7" w:rsidRPr="004C6FB7" w:rsidRDefault="004C6FB7" w:rsidP="004C6FB7">
      <w:pPr>
        <w:rPr>
          <w:rFonts w:eastAsia="Times New Roman"/>
          <w:bCs/>
          <w:sz w:val="18"/>
          <w:szCs w:val="18"/>
          <w:lang w:eastAsia="ru-RU"/>
        </w:rPr>
      </w:pPr>
      <w:r w:rsidRPr="004C6FB7">
        <w:rPr>
          <w:rFonts w:eastAsia="Times New Roman"/>
          <w:bCs/>
          <w:sz w:val="18"/>
          <w:szCs w:val="18"/>
          <w:lang w:eastAsia="ru-RU"/>
        </w:rPr>
        <w:t xml:space="preserve">- Входные билеты в музей </w:t>
      </w:r>
      <w:proofErr w:type="spellStart"/>
      <w:r w:rsidRPr="004C6FB7">
        <w:rPr>
          <w:rFonts w:eastAsia="Times New Roman"/>
          <w:bCs/>
          <w:sz w:val="18"/>
          <w:szCs w:val="18"/>
          <w:lang w:eastAsia="ru-RU"/>
        </w:rPr>
        <w:t>Кронида</w:t>
      </w:r>
      <w:proofErr w:type="spellEnd"/>
      <w:r w:rsidRPr="004C6FB7">
        <w:rPr>
          <w:rFonts w:eastAsia="Times New Roman"/>
          <w:bCs/>
          <w:sz w:val="18"/>
          <w:szCs w:val="18"/>
          <w:lang w:eastAsia="ru-RU"/>
        </w:rPr>
        <w:t xml:space="preserve"> Гоголева: 200 рублей на взрослого и 100 рублей на детей.</w:t>
      </w:r>
    </w:p>
    <w:p w:rsidR="004C6FB7" w:rsidRPr="004C6FB7" w:rsidRDefault="004C6FB7" w:rsidP="004C6FB7">
      <w:pPr>
        <w:rPr>
          <w:rFonts w:eastAsia="Times New Roman"/>
          <w:bCs/>
          <w:sz w:val="18"/>
          <w:szCs w:val="18"/>
          <w:lang w:eastAsia="ru-RU"/>
        </w:rPr>
      </w:pPr>
      <w:r w:rsidRPr="004C6FB7">
        <w:rPr>
          <w:rFonts w:eastAsia="Times New Roman"/>
          <w:bCs/>
          <w:sz w:val="18"/>
          <w:szCs w:val="18"/>
          <w:lang w:eastAsia="ru-RU"/>
        </w:rPr>
        <w:t xml:space="preserve">- Входной билет в крепость </w:t>
      </w:r>
      <w:proofErr w:type="spellStart"/>
      <w:r w:rsidRPr="004C6FB7">
        <w:rPr>
          <w:rFonts w:eastAsia="Times New Roman"/>
          <w:bCs/>
          <w:sz w:val="18"/>
          <w:szCs w:val="18"/>
          <w:lang w:eastAsia="ru-RU"/>
        </w:rPr>
        <w:t>Корела</w:t>
      </w:r>
      <w:proofErr w:type="spellEnd"/>
      <w:r w:rsidRPr="004C6FB7">
        <w:rPr>
          <w:rFonts w:eastAsia="Times New Roman"/>
          <w:bCs/>
          <w:sz w:val="18"/>
          <w:szCs w:val="18"/>
          <w:lang w:eastAsia="ru-RU"/>
        </w:rPr>
        <w:t>: 100 рублей на взрослого и 30 рублей на детей.</w:t>
      </w:r>
    </w:p>
    <w:p w:rsidR="004C6FB7" w:rsidRPr="004C6FB7" w:rsidRDefault="004C6FB7" w:rsidP="004C6FB7">
      <w:pPr>
        <w:rPr>
          <w:rFonts w:eastAsia="Times New Roman"/>
          <w:bCs/>
          <w:sz w:val="18"/>
          <w:szCs w:val="18"/>
          <w:lang w:eastAsia="ru-RU"/>
        </w:rPr>
      </w:pPr>
      <w:r w:rsidRPr="004C6FB7">
        <w:rPr>
          <w:rFonts w:eastAsia="Times New Roman"/>
          <w:bCs/>
          <w:sz w:val="18"/>
          <w:szCs w:val="18"/>
          <w:lang w:eastAsia="ru-RU"/>
        </w:rPr>
        <w:t>- Входной билет в музейный комплекс «Гора Филина»: 300 рублей на взрослого и 200 рублей на детей.</w:t>
      </w:r>
    </w:p>
    <w:p w:rsidR="00BD2657" w:rsidRPr="004C6FB7" w:rsidRDefault="004C6FB7" w:rsidP="004C6FB7">
      <w:pPr>
        <w:rPr>
          <w:color w:val="31849B" w:themeColor="accent5" w:themeShade="BF"/>
          <w:sz w:val="20"/>
          <w:szCs w:val="20"/>
        </w:rPr>
      </w:pPr>
      <w:r w:rsidRPr="004C6FB7">
        <w:rPr>
          <w:rFonts w:eastAsia="Times New Roman"/>
          <w:bCs/>
          <w:sz w:val="18"/>
          <w:szCs w:val="18"/>
          <w:lang w:eastAsia="ru-RU"/>
        </w:rPr>
        <w:t>- Комплексные обеды в туре: диапазон цен 350-450 рублей.</w:t>
      </w:r>
    </w:p>
    <w:sectPr w:rsidR="00BD2657" w:rsidRPr="004C6FB7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A8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34E81"/>
    <w:rsid w:val="00140C91"/>
    <w:rsid w:val="001427D0"/>
    <w:rsid w:val="00143E31"/>
    <w:rsid w:val="00144272"/>
    <w:rsid w:val="00155964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5C15"/>
    <w:rsid w:val="001C359A"/>
    <w:rsid w:val="001D035B"/>
    <w:rsid w:val="001D18C6"/>
    <w:rsid w:val="001D37BF"/>
    <w:rsid w:val="001D643B"/>
    <w:rsid w:val="001E25D5"/>
    <w:rsid w:val="001E48E2"/>
    <w:rsid w:val="001F046A"/>
    <w:rsid w:val="00200B1E"/>
    <w:rsid w:val="00201316"/>
    <w:rsid w:val="00214B45"/>
    <w:rsid w:val="00215626"/>
    <w:rsid w:val="0021631D"/>
    <w:rsid w:val="00216F5D"/>
    <w:rsid w:val="0022155E"/>
    <w:rsid w:val="002244FC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1552"/>
    <w:rsid w:val="00282B41"/>
    <w:rsid w:val="002833B9"/>
    <w:rsid w:val="002867AF"/>
    <w:rsid w:val="002915A7"/>
    <w:rsid w:val="00292C0E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7F9F"/>
    <w:rsid w:val="002F2E6F"/>
    <w:rsid w:val="002F6417"/>
    <w:rsid w:val="00310D6C"/>
    <w:rsid w:val="003132D3"/>
    <w:rsid w:val="003476D1"/>
    <w:rsid w:val="0035150D"/>
    <w:rsid w:val="00353C71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11A"/>
    <w:rsid w:val="003C02AA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83889"/>
    <w:rsid w:val="00494C41"/>
    <w:rsid w:val="004A1ADB"/>
    <w:rsid w:val="004A23DD"/>
    <w:rsid w:val="004A33CF"/>
    <w:rsid w:val="004B0ACC"/>
    <w:rsid w:val="004B56EE"/>
    <w:rsid w:val="004B59AD"/>
    <w:rsid w:val="004C34C0"/>
    <w:rsid w:val="004C6C34"/>
    <w:rsid w:val="004C6FB7"/>
    <w:rsid w:val="004D499A"/>
    <w:rsid w:val="004D4F5B"/>
    <w:rsid w:val="004D6B3D"/>
    <w:rsid w:val="004E1557"/>
    <w:rsid w:val="004F60D6"/>
    <w:rsid w:val="00500B7F"/>
    <w:rsid w:val="0050774E"/>
    <w:rsid w:val="00513FEF"/>
    <w:rsid w:val="00515EA9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6F7F"/>
    <w:rsid w:val="005D7215"/>
    <w:rsid w:val="005F62F1"/>
    <w:rsid w:val="005F6AF1"/>
    <w:rsid w:val="005F7B6B"/>
    <w:rsid w:val="006005DE"/>
    <w:rsid w:val="0060155A"/>
    <w:rsid w:val="00604B85"/>
    <w:rsid w:val="00610B98"/>
    <w:rsid w:val="0061201D"/>
    <w:rsid w:val="00626668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65AD1"/>
    <w:rsid w:val="00670FBC"/>
    <w:rsid w:val="00671394"/>
    <w:rsid w:val="0067278E"/>
    <w:rsid w:val="00674F86"/>
    <w:rsid w:val="00682A35"/>
    <w:rsid w:val="00682DFC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1AE4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D0D1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7116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B224A"/>
    <w:rsid w:val="009B25FB"/>
    <w:rsid w:val="009C4DE8"/>
    <w:rsid w:val="009C6AFC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538DE"/>
    <w:rsid w:val="00A53E8D"/>
    <w:rsid w:val="00A613C7"/>
    <w:rsid w:val="00A64504"/>
    <w:rsid w:val="00A651E9"/>
    <w:rsid w:val="00A65D8C"/>
    <w:rsid w:val="00A67F10"/>
    <w:rsid w:val="00A846AF"/>
    <w:rsid w:val="00A84B4D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2657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C2720"/>
    <w:rsid w:val="00CD1043"/>
    <w:rsid w:val="00CD20B2"/>
    <w:rsid w:val="00CD39C9"/>
    <w:rsid w:val="00CE503D"/>
    <w:rsid w:val="00CF21C7"/>
    <w:rsid w:val="00CF431B"/>
    <w:rsid w:val="00D1197F"/>
    <w:rsid w:val="00D17BA8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95FE6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6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1140</Words>
  <Characters>6504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17</cp:revision>
  <dcterms:created xsi:type="dcterms:W3CDTF">2016-07-04T16:26:00Z</dcterms:created>
  <dcterms:modified xsi:type="dcterms:W3CDTF">2018-08-22T07:10:00Z</dcterms:modified>
</cp:coreProperties>
</file>